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8C60F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1.</w:t>
      </w:r>
      <w:r w:rsidR="005B3958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8C60F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следующее распределение прибыли (убытков) ПАО «Мосэнерго» за 2022 год:</w:t>
      </w:r>
    </w:p>
    <w:p w:rsidR="001660A7" w:rsidRPr="005B3958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2"/>
          <w:szCs w:val="2"/>
        </w:rPr>
      </w:pPr>
    </w:p>
    <w:tbl>
      <w:tblPr>
        <w:tblStyle w:val="TableNormal"/>
        <w:tblW w:w="643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0"/>
        <w:gridCol w:w="1796"/>
      </w:tblGrid>
      <w:tr w:rsidTr="00180D21">
        <w:tblPrEx>
          <w:tblW w:w="643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rPr>
          <w:trHeight w:val="180"/>
          <w:jc w:val="center"/>
        </w:trPr>
        <w:tc>
          <w:tcPr>
            <w:tcW w:w="464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C60F6" w:rsidRPr="00247333" w:rsidP="008C60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4"/>
                <w:szCs w:val="16"/>
              </w:rPr>
            </w:pPr>
            <w:r w:rsidRPr="00247333">
              <w:rPr>
                <w:b/>
                <w:bCs/>
                <w:sz w:val="14"/>
                <w:szCs w:val="16"/>
              </w:rPr>
              <w:t>Наименование статьи</w:t>
            </w:r>
          </w:p>
        </w:tc>
        <w:tc>
          <w:tcPr>
            <w:tcW w:w="1796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C60F6" w:rsidRPr="00247333" w:rsidP="008C60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4"/>
                <w:szCs w:val="16"/>
              </w:rPr>
            </w:pPr>
            <w:r w:rsidRPr="00247333">
              <w:rPr>
                <w:b/>
                <w:bCs/>
                <w:sz w:val="14"/>
                <w:szCs w:val="16"/>
              </w:rPr>
              <w:t>Рублей</w:t>
            </w:r>
          </w:p>
        </w:tc>
      </w:tr>
      <w:tr w:rsidTr="00E22A8D">
        <w:tblPrEx>
          <w:tblW w:w="6436" w:type="dxa"/>
          <w:jc w:val="center"/>
          <w:tblInd w:w="0" w:type="dxa"/>
          <w:tblLayout w:type="fixed"/>
          <w:tblLook w:val="01E0"/>
        </w:tblPrEx>
        <w:trPr>
          <w:trHeight w:val="166"/>
          <w:jc w:val="center"/>
        </w:trPr>
        <w:tc>
          <w:tcPr>
            <w:tcW w:w="4640" w:type="dxa"/>
            <w:tcBorders>
              <w:bottom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C60F6" w:rsidRPr="00247333" w:rsidP="008C60F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4"/>
                <w:szCs w:val="16"/>
              </w:rPr>
            </w:pPr>
            <w:r w:rsidRPr="00247333">
              <w:rPr>
                <w:b/>
                <w:bCs/>
                <w:sz w:val="14"/>
                <w:szCs w:val="16"/>
              </w:rPr>
              <w:t>Балансовая прибыль (убыток)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C60F6" w:rsidRPr="00247333" w:rsidP="008C60F6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175"/>
              <w:jc w:val="center"/>
              <w:rPr>
                <w:b/>
                <w:bCs/>
                <w:sz w:val="14"/>
                <w:szCs w:val="16"/>
              </w:rPr>
            </w:pPr>
            <w:r w:rsidRPr="008C60F6">
              <w:rPr>
                <w:b/>
                <w:bCs/>
                <w:sz w:val="14"/>
                <w:szCs w:val="16"/>
              </w:rPr>
              <w:t>20 724 060 838</w:t>
            </w:r>
          </w:p>
        </w:tc>
      </w:tr>
      <w:tr w:rsidTr="00180D21">
        <w:tblPrEx>
          <w:tblW w:w="6436" w:type="dxa"/>
          <w:jc w:val="center"/>
          <w:tblInd w:w="0" w:type="dxa"/>
          <w:tblLayout w:type="fixed"/>
          <w:tblLook w:val="01E0"/>
        </w:tblPrEx>
        <w:trPr>
          <w:trHeight w:val="110"/>
          <w:jc w:val="center"/>
        </w:trPr>
        <w:tc>
          <w:tcPr>
            <w:tcW w:w="4640" w:type="dxa"/>
            <w:tcBorders>
              <w:bottom w:val="nil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C60F6" w:rsidRPr="00247333" w:rsidP="008C60F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4"/>
                <w:szCs w:val="16"/>
              </w:rPr>
            </w:pPr>
            <w:r w:rsidRPr="00247333">
              <w:rPr>
                <w:b/>
                <w:bCs/>
                <w:sz w:val="14"/>
                <w:szCs w:val="16"/>
              </w:rPr>
              <w:t>Распределение прибыли,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C60F6" w:rsidRPr="00247333" w:rsidP="008C60F6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175"/>
              <w:jc w:val="center"/>
              <w:rPr>
                <w:b/>
                <w:bCs/>
                <w:sz w:val="14"/>
                <w:szCs w:val="16"/>
              </w:rPr>
            </w:pPr>
            <w:r w:rsidRPr="008C60F6">
              <w:rPr>
                <w:b/>
                <w:bCs/>
                <w:sz w:val="14"/>
                <w:szCs w:val="16"/>
              </w:rPr>
              <w:t>20 724 060 838</w:t>
            </w:r>
          </w:p>
        </w:tc>
      </w:tr>
      <w:tr w:rsidTr="00180D21">
        <w:tblPrEx>
          <w:tblW w:w="6436" w:type="dxa"/>
          <w:jc w:val="center"/>
          <w:tblInd w:w="0" w:type="dxa"/>
          <w:tblLayout w:type="fixed"/>
          <w:tblLook w:val="01E0"/>
        </w:tblPrEx>
        <w:trPr>
          <w:trHeight w:val="134"/>
          <w:jc w:val="center"/>
        </w:trPr>
        <w:tc>
          <w:tcPr>
            <w:tcW w:w="4640" w:type="dxa"/>
            <w:tcBorders>
              <w:top w:val="nil"/>
              <w:bottom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C60F6" w:rsidRPr="00247333" w:rsidP="008C60F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4"/>
                <w:szCs w:val="16"/>
              </w:rPr>
            </w:pPr>
            <w:r w:rsidRPr="00247333">
              <w:rPr>
                <w:b/>
                <w:bCs/>
                <w:sz w:val="14"/>
                <w:szCs w:val="16"/>
              </w:rPr>
              <w:t>в том числе:</w:t>
            </w:r>
          </w:p>
        </w:tc>
        <w:tc>
          <w:tcPr>
            <w:tcW w:w="1796" w:type="dxa"/>
            <w:tcBorders>
              <w:top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C60F6" w:rsidRPr="00247333" w:rsidP="008C60F6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175"/>
              <w:jc w:val="center"/>
              <w:rPr>
                <w:b/>
                <w:bCs/>
                <w:sz w:val="14"/>
                <w:szCs w:val="16"/>
              </w:rPr>
            </w:pPr>
          </w:p>
        </w:tc>
      </w:tr>
      <w:tr w:rsidTr="00180D21">
        <w:tblPrEx>
          <w:tblW w:w="6436" w:type="dxa"/>
          <w:jc w:val="center"/>
          <w:tblInd w:w="0" w:type="dxa"/>
          <w:tblLayout w:type="fixed"/>
          <w:tblLook w:val="01E0"/>
        </w:tblPrEx>
        <w:trPr>
          <w:trHeight w:val="68"/>
          <w:jc w:val="center"/>
        </w:trPr>
        <w:tc>
          <w:tcPr>
            <w:tcW w:w="46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C60F6" w:rsidRPr="00247333" w:rsidP="008C60F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4"/>
                <w:szCs w:val="16"/>
              </w:rPr>
            </w:pPr>
            <w:r w:rsidRPr="00247333">
              <w:rPr>
                <w:b/>
                <w:bCs/>
                <w:sz w:val="14"/>
                <w:szCs w:val="16"/>
              </w:rPr>
              <w:t>Резервный фонд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C60F6" w:rsidRPr="00247333" w:rsidP="008C60F6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175"/>
              <w:jc w:val="center"/>
              <w:rPr>
                <w:b/>
                <w:bCs/>
                <w:sz w:val="14"/>
                <w:szCs w:val="16"/>
              </w:rPr>
            </w:pPr>
            <w:r w:rsidRPr="00247333">
              <w:rPr>
                <w:b/>
                <w:bCs/>
                <w:sz w:val="14"/>
                <w:szCs w:val="16"/>
              </w:rPr>
              <w:t>-</w:t>
            </w:r>
          </w:p>
        </w:tc>
      </w:tr>
      <w:tr w:rsidTr="008C60F6">
        <w:tblPrEx>
          <w:tblW w:w="6436" w:type="dxa"/>
          <w:jc w:val="center"/>
          <w:tblInd w:w="0" w:type="dxa"/>
          <w:tblLayout w:type="fixed"/>
          <w:tblLook w:val="01E0"/>
        </w:tblPrEx>
        <w:trPr>
          <w:jc w:val="center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C60F6" w:rsidRPr="00247333" w:rsidP="008C60F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4"/>
                <w:szCs w:val="16"/>
              </w:rPr>
            </w:pPr>
            <w:r w:rsidRPr="00247333">
              <w:rPr>
                <w:b/>
                <w:bCs/>
                <w:sz w:val="14"/>
                <w:szCs w:val="16"/>
              </w:rPr>
              <w:t>Дивиденды на акции за 202</w:t>
            </w:r>
            <w:r>
              <w:rPr>
                <w:b/>
                <w:bCs/>
                <w:sz w:val="14"/>
                <w:szCs w:val="16"/>
              </w:rPr>
              <w:t>2</w:t>
            </w:r>
            <w:r w:rsidRPr="00247333">
              <w:rPr>
                <w:b/>
                <w:bCs/>
                <w:sz w:val="14"/>
                <w:szCs w:val="16"/>
              </w:rPr>
              <w:t xml:space="preserve"> год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C60F6" w:rsidRPr="00247333" w:rsidP="008C60F6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175"/>
              <w:jc w:val="center"/>
              <w:rPr>
                <w:b/>
                <w:bCs/>
                <w:sz w:val="14"/>
                <w:szCs w:val="16"/>
              </w:rPr>
            </w:pPr>
            <w:r w:rsidRPr="003842D4">
              <w:rPr>
                <w:b/>
                <w:bCs/>
                <w:sz w:val="14"/>
                <w:szCs w:val="16"/>
              </w:rPr>
              <w:t>7 414 050 571</w:t>
            </w:r>
          </w:p>
        </w:tc>
      </w:tr>
      <w:tr w:rsidTr="008C60F6">
        <w:tblPrEx>
          <w:tblW w:w="6436" w:type="dxa"/>
          <w:jc w:val="center"/>
          <w:tblInd w:w="0" w:type="dxa"/>
          <w:tblLayout w:type="fixed"/>
          <w:tblLook w:val="01E0"/>
        </w:tblPrEx>
        <w:trPr>
          <w:jc w:val="center"/>
        </w:trPr>
        <w:tc>
          <w:tcPr>
            <w:tcW w:w="46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C60F6" w:rsidRPr="00247333" w:rsidP="008C60F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4"/>
                <w:szCs w:val="16"/>
              </w:rPr>
            </w:pPr>
            <w:r w:rsidRPr="00247333">
              <w:rPr>
                <w:b/>
                <w:bCs/>
                <w:sz w:val="14"/>
                <w:szCs w:val="16"/>
              </w:rPr>
              <w:t>Остается в распоряжении ПАО «Мосэнерго»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C60F6" w:rsidRPr="00247333" w:rsidP="008C60F6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175"/>
              <w:jc w:val="center"/>
              <w:rPr>
                <w:b/>
                <w:bCs/>
                <w:sz w:val="14"/>
                <w:szCs w:val="16"/>
              </w:rPr>
            </w:pPr>
            <w:r w:rsidRPr="003842D4">
              <w:rPr>
                <w:b/>
                <w:bCs/>
                <w:sz w:val="14"/>
                <w:szCs w:val="16"/>
              </w:rPr>
              <w:t>13 310 010 267</w:t>
            </w:r>
          </w:p>
        </w:tc>
      </w:tr>
    </w:tbl>
    <w:p w:rsidR="001660A7" w:rsidRPr="005B3958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2"/>
          <w:szCs w:val="2"/>
        </w:rPr>
      </w:pPr>
    </w:p>
    <w:p w:rsidR="001660A7" w:rsidRPr="008C60F6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8C60F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2.</w:t>
      </w:r>
      <w:r w:rsidR="005B3958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8C60F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Выплатить дивиденды по обыкновенным акциям ПАО «Мосэнерго» по результатам 2022 года в размере </w:t>
      </w:r>
      <w:r w:rsidRPr="003842D4" w:rsidR="003842D4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0,18652</w:t>
      </w:r>
      <w:r w:rsidR="003842D4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</w:t>
      </w:r>
      <w:r w:rsidRPr="008C60F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рубля на одну обыкновенную именную акцию ПАО «Мосэнерго» в денежной форме в сроки, установленные действующим законодательством Российской Федерации.</w:t>
      </w:r>
    </w:p>
    <w:p w:rsidR="001660A7" w:rsidRPr="008C60F6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8C60F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3.</w:t>
      </w:r>
      <w:r w:rsidR="005B3958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8C60F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Определить дату составления списка лиц, имеющих право на получение дивидендов по обыкновенным акциям ПАО «Мосэнерго» по результатам 2022 года – 04 июля 2023 года (на конец операционного дня).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26C2DCC1-DE52-4616-A242-01FE07EB4A27}"/>
  </w:font>
  <w:font w:name="C39HrP72DlTt">
    <w:altName w:val="Times New Roman"/>
    <w:charset w:val="00"/>
    <w:family w:val="auto"/>
    <w:pitch w:val="variable"/>
    <w:sig w:usb0="00000003" w:usb1="00000000" w:usb2="00000000" w:usb3="00000000" w:csb0="00000001" w:csb1="00000000"/>
    <w:embedRegular r:id="rId2" w:subsetted="1" w:fontKey="{4A976B7E-E01F-438D-9BCA-8AD3250A552D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9">
    <w:name w:val="Normal_9"/>
    <w:qFormat/>
    <w:rsid w:val="00A85AAA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